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江苏少年网</w:t>
      </w: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2019年1月用稿统计（淮安）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tbl>
      <w:tblPr>
        <w:tblStyle w:val="5"/>
        <w:tblW w:w="11115" w:type="dxa"/>
        <w:tblInd w:w="-1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70"/>
        <w:gridCol w:w="1515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用稿数量</w:t>
            </w:r>
          </w:p>
        </w:tc>
        <w:tc>
          <w:tcPr>
            <w:tcW w:w="6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3" w:hRule="atLeast"/>
        </w:trPr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青少年社会主义核心价值观教育的珍贵教材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（关工经纬）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为民营企业走向更加广阔舞台插上翅膀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（关工经纬）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盱眙县关工委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盱眙县关工委虚实并举贯彻省民企关工委座谈会精神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（关工经纬）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金湖县关工委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3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金北中心小学开展缅怀伟人周恩来主题活动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（传承红色基因）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挖掘乡贤文化 传播红色基因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（传承红色基因）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金湖县关工委严格系统考评基层工作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（市县传真）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洪泽区关工委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洪泽区三河镇（东片区）校外辅导站寒假活动开班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（辅导站播报）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涟水县关工委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淮安区关工委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淮阴区关工委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清江浦区关工委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3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淮安市清江浦区召开全区关工委工作会议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  <w:lang w:eastAsia="zh-CN"/>
              </w:rPr>
              <w:t>（市县传真）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河堤社区关工委举办儿童趣味游戏运动会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（辅导站播报）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市经济开发区关工委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苏淮高新区关工委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3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fill="FFFFFF"/>
          <w:lang w:val="en-US" w:eastAsia="zh-CN"/>
        </w:rPr>
        <w:t>备注：请各县区每月的活动抓紧时间投稿，我们将每月公布一次用稿数量。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F3EC"/>
    <w:multiLevelType w:val="singleLevel"/>
    <w:tmpl w:val="3D1EF3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1B02"/>
    <w:rsid w:val="0B353554"/>
    <w:rsid w:val="26EE214F"/>
    <w:rsid w:val="6C0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秋落离</cp:lastModifiedBy>
  <dcterms:modified xsi:type="dcterms:W3CDTF">2019-02-21T03:04:33Z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